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</w:pP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Genehmigung f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 TREE Token von FMA und BaFin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Bold" w:cs="Open Sans Bold" w:hAnsi="Open Sans Bold" w:eastAsia="Open Sans Bold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en Sans Bold" w:hAnsi="Open Sans Bold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Schweizer GTP AG erm</w:t>
      </w:r>
      <w:r>
        <w:rPr>
          <w:rFonts w:ascii="Open Sans Bold" w:hAnsi="Open Sans Bold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Open Sans Bold" w:hAnsi="Open Sans Bold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glicht Investition in RWA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264" w:lineRule="auto"/>
        <w:rPr>
          <w:rFonts w:ascii="Open Sans Regular" w:cs="Open Sans Regular" w:hAnsi="Open Sans Regular" w:eastAsia="Open Sans Regular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Anleger: Langfristige Renditen und gleichzeitig den Regenwald in 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Lateinamerika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sch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tzen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264" w:lineRule="auto"/>
        <w:rPr>
          <w:rFonts w:ascii="Arial" w:cs="Arial" w:hAnsi="Arial" w:eastAsia="Arial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76" w:lineRule="auto"/>
        <w:rPr>
          <w:rFonts w:ascii="Open Sans Regular" w:cs="Open Sans Regular" w:hAnsi="Open Sans Regular" w:eastAsia="Open Sans Regular"/>
          <w:sz w:val="22"/>
          <w:szCs w:val="22"/>
          <w:u w:color="000000"/>
        </w:rPr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Der Initiator des gr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öß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ten Naturlogos der Welt, die Schweizer Global Tree Project AG, erh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lt von der Liechtensteiner Finanzmarktaufsicht (FMA) die Genehmigung des Wertpapierprospekts f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 xml:space="preserve">r seinen TREE Token. Damit ist dieser jetzt auch in Deutschland BaFin-konform. </w:t>
      </w:r>
    </w:p>
    <w:p>
      <w:pPr>
        <w:pStyle w:val="Text A"/>
      </w:pPr>
      <w:r>
        <w:rPr>
          <w:rtl w:val="0"/>
          <w:lang w:val="de-DE"/>
        </w:rPr>
        <w:t>Bei diesem Angebot handelt es sich um die Anlageklasse eines Real World Assets. Anleger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damit langfristig in einen traditionellen</w:t>
      </w:r>
      <w:r>
        <w:rPr>
          <w:rtl w:val="0"/>
          <w:lang w:val="de-DE"/>
        </w:rPr>
        <w:t>,</w:t>
      </w:r>
      <w:r>
        <w:rPr>
          <w:rtl w:val="0"/>
          <w:lang w:val="de-DE"/>
        </w:rPr>
        <w:t xml:space="preserve"> greifbaren Verm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genswert, dem </w:t>
      </w:r>
      <w:r>
        <w:rPr>
          <w:rtl w:val="0"/>
          <w:lang w:val="de-DE"/>
        </w:rPr>
        <w:t>Nutz</w:t>
      </w:r>
      <w:r>
        <w:rPr>
          <w:rtl w:val="0"/>
          <w:lang w:val="de-DE"/>
        </w:rPr>
        <w:t>wald, investieren und dabei kontinuierlich wiederkehrende Renditen aus dem Verkauf der Holzernte erzielen. CEO J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rg 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fer: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Unser Projekt ist so konzipiert, dass sich jeder Mensch daran beteiligen kann.</w:t>
      </w:r>
      <w:r>
        <w:rPr>
          <w:rtl w:val="0"/>
          <w:lang w:val="de-DE"/>
        </w:rPr>
        <w:t>“</w:t>
      </w:r>
    </w:p>
    <w:p>
      <w:pPr>
        <w:pStyle w:val="Text A"/>
      </w:pPr>
      <w:r>
        <w:rPr>
          <w:rtl w:val="0"/>
          <w:lang w:val="de-DE"/>
        </w:rPr>
        <w:t>Die GTP 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ttet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 diesen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 xml:space="preserve">TreeCycle </w:t>
      </w:r>
      <w:r>
        <w:rPr>
          <w:rtl w:val="0"/>
          <w:lang w:val="de-DE"/>
        </w:rPr>
        <w:t>of</w:t>
      </w:r>
      <w:r>
        <w:rPr>
          <w:rtl w:val="0"/>
          <w:lang w:val="de-DE"/>
        </w:rPr>
        <w:t xml:space="preserve"> Life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40 Prozent der erzielten Nettogewinne direkt an die Anleger aus. Weitere 10 Prozent flie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 in den Schutz des Regenwaldes sowie in soziale Projekte vor Ort in Paraguay. Die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lfte der Gewinne aber w</w:t>
      </w:r>
      <w:r>
        <w:rPr>
          <w:rtl w:val="0"/>
          <w:lang w:val="de-DE"/>
        </w:rPr>
        <w:t>ird</w:t>
      </w:r>
      <w:r>
        <w:rPr>
          <w:rtl w:val="0"/>
          <w:lang w:val="de-DE"/>
        </w:rPr>
        <w:t xml:space="preserve"> in den Erwerb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tzlicher Grundst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 und deren Aufforstung reinvestiert. Das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hrt dann letztlich zu einer Steigerung der Ertr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 der Investoren im folgenden Zyklus.</w:t>
      </w:r>
    </w:p>
    <w:p>
      <w:pPr>
        <w:pStyle w:val="Text A"/>
      </w:pPr>
      <w:r>
        <w:rPr>
          <w:rtl w:val="0"/>
          <w:lang w:val="de-DE"/>
        </w:rPr>
        <w:t>Interessant wird dieses Modell besonders durch die Anpflanzung extrem schnell wachsende</w:t>
      </w:r>
      <w:r>
        <w:rPr>
          <w:rtl w:val="0"/>
          <w:lang w:val="de-DE"/>
        </w:rPr>
        <w:t>r</w:t>
      </w:r>
      <w:r>
        <w:rPr>
          <w:rtl w:val="0"/>
          <w:lang w:val="de-DE"/>
        </w:rPr>
        <w:t xml:space="preserve"> Eukalyptusb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ume, </w:t>
      </w:r>
      <w:r>
        <w:rPr>
          <w:rtl w:val="0"/>
          <w:lang w:val="de-DE"/>
        </w:rPr>
        <w:t xml:space="preserve">die zum Teil </w:t>
      </w:r>
      <w:r>
        <w:rPr>
          <w:rtl w:val="0"/>
          <w:lang w:val="de-DE"/>
        </w:rPr>
        <w:t xml:space="preserve">bereits nach etwa </w:t>
      </w:r>
      <w:r>
        <w:rPr>
          <w:rtl w:val="0"/>
          <w:lang w:val="de-DE"/>
        </w:rPr>
        <w:t>sechs</w:t>
      </w:r>
      <w:r>
        <w:rPr>
          <w:rtl w:val="0"/>
          <w:lang w:val="de-DE"/>
        </w:rPr>
        <w:t xml:space="preserve"> Jahren geerntet werden </w:t>
      </w:r>
      <w:r>
        <w:rPr>
          <w:rtl w:val="0"/>
          <w:lang w:val="de-DE"/>
        </w:rPr>
        <w:t>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</w:t>
      </w:r>
      <w:r>
        <w:rPr>
          <w:rtl w:val="0"/>
          <w:lang w:val="de-DE"/>
        </w:rPr>
        <w:t xml:space="preserve">. Im Unterschied zu manch anderen </w:t>
      </w:r>
      <w:r>
        <w:rPr>
          <w:rtl w:val="0"/>
          <w:lang w:val="de-DE"/>
        </w:rPr>
        <w:t>Nutz</w:t>
      </w:r>
      <w:r>
        <w:rPr>
          <w:rtl w:val="0"/>
          <w:lang w:val="de-DE"/>
        </w:rPr>
        <w:t>w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ldern 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tzt der Anbau der B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ume im Treecycle-Projekt vor Bodenerosion, die nach </w:t>
      </w:r>
      <w:r>
        <w:rPr>
          <w:rtl w:val="0"/>
          <w:lang w:val="de-DE"/>
        </w:rPr>
        <w:t>j</w:t>
      </w:r>
      <w:r>
        <w:rPr>
          <w:rtl w:val="0"/>
          <w:lang w:val="de-DE"/>
        </w:rPr>
        <w:t>ahrzehntelange</w:t>
      </w:r>
      <w:r>
        <w:rPr>
          <w:rtl w:val="0"/>
          <w:lang w:val="de-DE"/>
        </w:rPr>
        <w:t>m</w:t>
      </w:r>
      <w:r>
        <w:rPr>
          <w:rtl w:val="0"/>
          <w:lang w:val="de-DE"/>
        </w:rPr>
        <w:t xml:space="preserve"> Raubbau am paraguayischen Urwald droht. </w:t>
      </w:r>
      <w:r>
        <w:rPr>
          <w:rtl w:val="0"/>
          <w:lang w:val="de-DE"/>
        </w:rPr>
        <w:t>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</w:t>
      </w:r>
      <w:r>
        <w:rPr>
          <w:rtl w:val="0"/>
          <w:lang w:val="de-DE"/>
        </w:rPr>
        <w:t xml:space="preserve"> sorgt das Projekt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eine Regeneration der n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hrstoffarmen B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den, auf dem seine B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ume wachsen.</w:t>
      </w:r>
    </w:p>
    <w:p>
      <w:pPr>
        <w:pStyle w:val="Text A"/>
      </w:pPr>
      <w:r>
        <w:rPr>
          <w:rtl w:val="0"/>
          <w:lang w:val="de-DE"/>
        </w:rPr>
        <w:t>Durch den Holzverkauf bei gleichzeitiger Reinvestition in dieses Projekt ergibt sich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den Anleger aus einer einmaligen Investition ein revolvierender Kreislauf aus Renditen und Wiederanlage. Dieser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 xml:space="preserve">TreeCycle </w:t>
      </w:r>
      <w:r>
        <w:rPr>
          <w:rtl w:val="0"/>
          <w:lang w:val="de-DE"/>
        </w:rPr>
        <w:t>of</w:t>
      </w:r>
      <w:r>
        <w:rPr>
          <w:rtl w:val="0"/>
          <w:lang w:val="de-DE"/>
        </w:rPr>
        <w:t xml:space="preserve"> Life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ist vergleichbar mit einer Rentenversicherung mit Inflationsschutz</w:t>
      </w:r>
      <w:r>
        <w:rPr>
          <w:rtl w:val="0"/>
          <w:lang w:val="de-DE"/>
        </w:rPr>
        <w:t>.</w:t>
      </w:r>
    </w:p>
    <w:p>
      <w:pPr>
        <w:pStyle w:val="Text A"/>
      </w:pPr>
      <w:r>
        <w:rPr>
          <w:rtl w:val="0"/>
          <w:lang w:val="de-DE"/>
        </w:rPr>
        <w:t>Weitere Informationen: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</w:pPr>
      <w:r>
        <w:rPr>
          <w:rtl w:val="0"/>
          <w:lang w:val="de-DE"/>
        </w:rPr>
        <w:t xml:space="preserve">Projekt: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"https://treecycle.ch"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https://treecycle.ch</w:t>
      </w:r>
      <w:r>
        <w:rPr/>
        <w:fldChar w:fldCharType="end" w:fldLock="0"/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 w:line="240" w:lineRule="auto"/>
      </w:pPr>
      <w:r>
        <w:rPr>
          <w:rStyle w:val="Hyperlink.0"/>
          <w:rtl w:val="0"/>
          <w:lang w:val="de-DE"/>
        </w:rPr>
        <w:t xml:space="preserve">Pressebereich: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"https://treecycle.ch/presse"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https://treecycle.ch/presse</w:t>
      </w:r>
      <w:r>
        <w:rPr/>
        <w:fldChar w:fldCharType="end" w:fldLock="0"/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rPr>
          <w:rStyle w:val="Ohne"/>
          <w:rFonts w:ascii="Open Sans Regular" w:cs="Open Sans Regular" w:hAnsi="Open Sans Regular" w:eastAsia="Open Sans Regular"/>
          <w:u w:color="000000"/>
        </w:rPr>
      </w:pPr>
      <w:r>
        <w:rPr>
          <w:rStyle w:val="Ohne"/>
          <w:rFonts w:ascii="Open Sans Regular" w:hAnsi="Open Sans Regular"/>
          <w:sz w:val="22"/>
          <w:szCs w:val="22"/>
          <w:u w:color="000000"/>
          <w:rtl w:val="0"/>
          <w:lang w:val="de-DE"/>
        </w:rPr>
        <w:t xml:space="preserve">Projektgesellschaft: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"https://gtp.ch/"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https://gtp.ch/</w:t>
      </w:r>
      <w:r>
        <w:rPr/>
        <w:fldChar w:fldCharType="end" w:fldLock="0"/>
      </w:r>
    </w:p>
    <w:p>
      <w:pPr>
        <w:pStyle w:val="heading 2"/>
      </w:pPr>
      <w:r>
        <w:rPr>
          <w:rStyle w:val="Hyperlink.0"/>
          <w:rtl w:val="0"/>
        </w:rPr>
        <w:t xml:space="preserve">GTP AG / Presse- und </w:t>
      </w: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ffentlichkeitsarbeit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Style w:val="Hyperlink.1"/>
        </w:rPr>
      </w:pPr>
      <w:r>
        <w:rPr>
          <w:rStyle w:val="Hyperlink.1"/>
          <w:rtl w:val="0"/>
          <w:lang w:val="de-DE"/>
        </w:rPr>
        <w:t>Stefan D</w:t>
      </w:r>
      <w:r>
        <w:rPr>
          <w:rStyle w:val="Hyperlink.1"/>
          <w:rtl w:val="0"/>
          <w:lang w:val="de-DE"/>
        </w:rPr>
        <w:t>ö</w:t>
      </w:r>
      <w:r>
        <w:rPr>
          <w:rStyle w:val="Hyperlink.1"/>
          <w:rtl w:val="0"/>
          <w:lang w:val="de-DE"/>
        </w:rPr>
        <w:t>melt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Style w:val="Hyperlink.1"/>
        </w:rPr>
      </w:pPr>
      <w:r>
        <w:rPr>
          <w:rStyle w:val="Hyperlink.1"/>
          <w:rtl w:val="0"/>
          <w:lang w:val="de-DE"/>
        </w:rPr>
        <w:t>Telefon</w:t>
        <w:tab/>
        <w:t>+491703849802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</w:pPr>
      <w:r>
        <w:rPr>
          <w:rStyle w:val="Hyperlink.1"/>
          <w:rtl w:val="0"/>
          <w:lang w:val="de-DE"/>
        </w:rPr>
        <w:t>E-Mail</w:t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"mailto:presse@gtp.ch"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presse@gtp.ch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2721" w:right="1134" w:bottom="1134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tabs>
        <w:tab w:val="center" w:pos="4819"/>
        <w:tab w:val="right" w:pos="9612"/>
        <w:tab w:val="clear" w:pos="9020"/>
      </w:tabs>
    </w:pPr>
    <w:r>
      <w:rPr>
        <w:rFonts w:ascii="Arial" w:cs="Arial" w:hAnsi="Arial" w:eastAsia="Arial"/>
        <w:sz w:val="20"/>
        <w:szCs w:val="20"/>
      </w:rPr>
      <w:tab/>
      <w:tab/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PAGE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  <w:r>
      <w:rPr>
        <w:rFonts w:ascii="Arial" w:hAnsi="Arial"/>
        <w:sz w:val="20"/>
        <w:szCs w:val="20"/>
        <w:rtl w:val="0"/>
        <w:lang w:val="de-DE"/>
      </w:rPr>
      <w:t xml:space="preserve"> / </w:t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NUMPAGES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  <w:rPr>
        <w:rFonts w:ascii="Open Sans Bold" w:cs="Open Sans Bold" w:hAnsi="Open Sans Bold" w:eastAsia="Open Sans Bold"/>
        <w:sz w:val="22"/>
        <w:szCs w:val="22"/>
        <w:u w:color="000000"/>
        <w14:textOutline w14:w="12700" w14:cap="flat">
          <w14:noFill/>
          <w14:miter w14:lim="400000"/>
        </w14:textOutline>
      </w:rPr>
    </w:pPr>
    <w:r>
      <w:rPr>
        <w:rFonts w:ascii="Open Sans Bold" w:hAnsi="Open Sans Bold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Pressemitteilung</w:t>
      <w:tab/>
      <w:tab/>
    </w:r>
    <w:r>
      <w:rPr>
        <w:u w:color="000000"/>
      </w:rPr>
      <w:drawing xmlns:a="http://schemas.openxmlformats.org/drawingml/2006/main">
        <wp:inline distT="0" distB="0" distL="0" distR="0">
          <wp:extent cx="1347385" cy="991592"/>
          <wp:effectExtent l="0" t="0" r="0" b="0"/>
          <wp:docPr id="1073741825" name="officeArt object" descr="treecycl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reecycle-logo.png" descr="treecycle-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385" cy="991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  <w:rPr>
        <w:rFonts w:ascii="Open Sans Bold" w:cs="Open Sans Bold" w:hAnsi="Open Sans Bold" w:eastAsia="Open Sans Bold"/>
        <w:sz w:val="22"/>
        <w:szCs w:val="22"/>
        <w:u w:color="000000"/>
        <w14:textOutline w14:w="12700" w14:cap="flat">
          <w14:noFill/>
          <w14:miter w14:lim="400000"/>
        </w14:textOutline>
      </w:rPr>
    </w:pP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</w:pPr>
    <w:r>
      <w:rPr>
        <w:rFonts w:ascii="Open Sans Regular" w:hAnsi="Open Sans Regular"/>
        <w:sz w:val="22"/>
        <w:szCs w:val="22"/>
        <w:rtl w:val="0"/>
        <w:lang w:val="de-DE"/>
      </w:rPr>
      <w:t>2</w:t>
    </w:r>
    <w:r>
      <w:rPr>
        <w:rFonts w:ascii="Open Sans Regular" w:hAnsi="Open Sans Regular"/>
        <w:sz w:val="22"/>
        <w:szCs w:val="22"/>
        <w:rtl w:val="0"/>
        <w:lang w:val="de-DE"/>
      </w:rPr>
      <w:t>4</w:t>
    </w:r>
    <w:r>
      <w:rPr>
        <w:rFonts w:ascii="Open Sans Regular" w:hAnsi="Open Sans Regular"/>
        <w:sz w:val="22"/>
        <w:szCs w:val="22"/>
        <w:rtl w:val="0"/>
        <w:lang w:val="de-DE"/>
      </w:rPr>
      <w:t>. April 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 A">
    <w:name w:val="Kopf- und Fußzeilen A"/>
    <w:next w:val="Kopf- und Fußzeilen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tabs>
        <w:tab w:val="left" w:pos="5919"/>
      </w:tabs>
      <w:suppressAutoHyphens w:val="0"/>
      <w:bidi w:val="0"/>
      <w:spacing w:before="160" w:after="120" w:line="276" w:lineRule="auto"/>
      <w:ind w:left="0" w:right="0" w:firstLine="0"/>
      <w:jc w:val="left"/>
      <w:outlineLvl w:val="9"/>
    </w:pPr>
    <w:rPr>
      <w:rFonts w:ascii="Open Sans Regular" w:cs="Arial Unicode MS" w:hAnsi="Open Sans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  <w:style w:type="character" w:styleId="Hyperlink.1">
    <w:name w:val="Hyperlink.1"/>
    <w:basedOn w:val="Ohne"/>
    <w:next w:val="Hyperlink.1"/>
    <w:rPr>
      <w:rFonts w:ascii="Open Sans Regular" w:cs="Open Sans Regular" w:hAnsi="Open Sans Regular" w:eastAsia="Open Sans Regular"/>
      <w:sz w:val="22"/>
      <w:szCs w:val="22"/>
      <w:u w:color="000000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20" w:line="288" w:lineRule="auto"/>
      <w:ind w:left="0" w:right="0" w:firstLine="0"/>
      <w:jc w:val="left"/>
      <w:outlineLvl w:val="0"/>
    </w:pPr>
    <w:rPr>
      <w:rFonts w:ascii="Open Sans Bold" w:cs="Arial Unicode MS" w:hAnsi="Open Sans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